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Introducing Beltone Achieve _ Beltone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superior </w:t>
      </w:r>
      <w:r w:rsidR="00000000" w:rsidRPr="00000000" w:rsidDel="00000000">
        <w:rPr>
          <w:rtl w:val="0"/>
        </w:rPr>
        <w:t xml:space="preserve">surround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naturally,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moment.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phone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video </w:t>
      </w:r>
      <w:r w:rsidR="00000000" w:rsidRPr="00000000" w:rsidDel="00000000">
        <w:rPr>
          <w:rtl w:val="0"/>
        </w:rPr>
        <w:t xml:space="preserve">calls,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stream </w:t>
      </w:r>
      <w:r w:rsidR="00000000" w:rsidRPr="00000000" w:rsidDel="00000000">
        <w:rPr>
          <w:rtl w:val="0"/>
        </w:rPr>
        <w:t xml:space="preserve">audio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rechargeable, </w:t>
      </w:r>
      <w:r w:rsidR="00000000" w:rsidRPr="00000000" w:rsidDel="00000000">
        <w:rPr>
          <w:rtl w:val="0"/>
        </w:rPr>
        <w:t xml:space="preserve">offering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waterproof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sweatproof,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ideal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lifestyles.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slow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Achieve.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today. 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28786420-6191.docx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