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Introduction to Beltone Remote Care Live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28786422-6191.docx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